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0A57C">
      <w:pPr>
        <w:autoSpaceDE w:val="0"/>
        <w:autoSpaceDN w:val="0"/>
        <w:adjustRightInd w:val="0"/>
        <w:snapToGrid w:val="0"/>
        <w:spacing w:line="520" w:lineRule="exact"/>
        <w:rPr>
          <w:rFonts w:ascii="Times New Roman" w:hAnsi="Times New Roman" w:eastAsia="黑体" w:cs="黑体"/>
          <w:color w:val="000000"/>
          <w:sz w:val="32"/>
          <w:szCs w:val="32"/>
        </w:rPr>
      </w:pPr>
      <w:r>
        <w:rPr>
          <w:rFonts w:hint="eastAsia" w:ascii="Times New Roman" w:hAnsi="Times New Roman" w:eastAsia="黑体" w:cs="黑体"/>
          <w:color w:val="000000"/>
          <w:sz w:val="32"/>
          <w:szCs w:val="32"/>
        </w:rPr>
        <w:t>附件1：</w:t>
      </w:r>
    </w:p>
    <w:p w14:paraId="03F95DCB">
      <w:pPr>
        <w:pStyle w:val="2"/>
        <w:rPr>
          <w:color w:val="000000"/>
        </w:rPr>
      </w:pPr>
    </w:p>
    <w:p w14:paraId="7EBC77D1">
      <w:pPr>
        <w:pStyle w:val="13"/>
        <w:spacing w:after="0" w:line="56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2026年度黔南民族医学高等专科学校科研基金项目申报</w:t>
      </w:r>
      <w:r>
        <w:rPr>
          <w:rFonts w:hint="eastAsia" w:ascii="Times New Roman" w:hAnsi="Times New Roman" w:eastAsia="方正小标宋简体" w:cs="Times New Roman"/>
          <w:color w:val="000000"/>
          <w:sz w:val="44"/>
          <w:szCs w:val="44"/>
          <w:lang w:eastAsia="zh-CN"/>
        </w:rPr>
        <w:t>选题</w:t>
      </w:r>
      <w:r>
        <w:rPr>
          <w:rFonts w:hint="default" w:ascii="Times New Roman" w:hAnsi="Times New Roman" w:eastAsia="方正小标宋简体" w:cs="Times New Roman"/>
          <w:color w:val="000000"/>
          <w:sz w:val="44"/>
          <w:szCs w:val="44"/>
        </w:rPr>
        <w:t>指南</w:t>
      </w:r>
    </w:p>
    <w:p w14:paraId="7A5D5D10">
      <w:pPr>
        <w:pStyle w:val="13"/>
        <w:spacing w:after="0" w:line="560" w:lineRule="exact"/>
        <w:rPr>
          <w:rFonts w:hint="default" w:ascii="Times New Roman" w:hAnsi="Times New Roman" w:eastAsia="方正小标宋简体" w:cs="Times New Roman"/>
          <w:color w:val="000000"/>
          <w:sz w:val="44"/>
          <w:szCs w:val="44"/>
        </w:rPr>
      </w:pPr>
      <w:bookmarkStart w:id="0" w:name="_GoBack"/>
      <w:bookmarkEnd w:id="0"/>
    </w:p>
    <w:p w14:paraId="1CE5DC72">
      <w:pPr>
        <w:pStyle w:val="13"/>
        <w:spacing w:after="0" w:line="560" w:lineRule="exact"/>
        <w:rPr>
          <w:rFonts w:hint="default" w:ascii="Times New Roman" w:hAnsi="Times New Roman" w:eastAsia="方正小标宋简体" w:cs="Times New Roman"/>
          <w:color w:val="000000"/>
          <w:sz w:val="44"/>
          <w:szCs w:val="44"/>
        </w:rPr>
      </w:pPr>
    </w:p>
    <w:p w14:paraId="0320227F">
      <w:pPr>
        <w:pStyle w:val="13"/>
        <w:spacing w:after="0" w:line="56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w:t>
      </w:r>
      <w:r>
        <w:rPr>
          <w:rFonts w:hint="eastAsia" w:ascii="Times New Roman" w:hAnsi="Times New Roman" w:eastAsia="黑体" w:cs="Times New Roman"/>
          <w:color w:val="000000"/>
          <w:sz w:val="32"/>
          <w:szCs w:val="32"/>
          <w:lang w:eastAsia="zh-CN"/>
        </w:rPr>
        <w:t>“揭榜挂帅”</w:t>
      </w:r>
      <w:r>
        <w:rPr>
          <w:rFonts w:hint="default" w:ascii="Times New Roman" w:hAnsi="Times New Roman" w:eastAsia="黑体" w:cs="Times New Roman"/>
          <w:color w:val="000000"/>
          <w:sz w:val="32"/>
          <w:szCs w:val="32"/>
        </w:rPr>
        <w:t>科研创新团队培育项目</w:t>
      </w:r>
    </w:p>
    <w:p w14:paraId="3F0FFCB3">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（一）黔南药食同源草本资源功能评价、轻养产品开发与健康管理</w:t>
      </w:r>
    </w:p>
    <w:p w14:paraId="1A88DB89">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（二）黔南茶源功能因子调控肠道屏障——炎症微生态药理</w:t>
      </w:r>
    </w:p>
    <w:p w14:paraId="09D4BAB9">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（三）天然活性成分调控毛囊微环境与头皮健康产品研发</w:t>
      </w:r>
    </w:p>
    <w:p w14:paraId="26EA5FAD">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（四）水族本草芳香资源绿色驱蚊功能因子筛选与缓释制剂转化</w:t>
      </w:r>
    </w:p>
    <w:p w14:paraId="778876AE">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（五）民族地区老年健康与疾病防治</w:t>
      </w:r>
    </w:p>
    <w:p w14:paraId="01B4223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（六）黔南州苗族、布依族高脂血症精准诊疗研究</w:t>
      </w:r>
    </w:p>
    <w:p w14:paraId="49A94AEA">
      <w:pPr>
        <w:pStyle w:val="13"/>
        <w:spacing w:after="0" w:line="560" w:lineRule="exac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sz w:val="30"/>
          <w:szCs w:val="30"/>
        </w:rPr>
        <w:t>（七）产教融合背景下服务地方酒企的露酒处方设计与工艺研发——基于药食同源理论</w:t>
      </w:r>
    </w:p>
    <w:p w14:paraId="6C00392F">
      <w:pPr>
        <w:pStyle w:val="13"/>
        <w:spacing w:after="0" w:line="56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二、科研骨干支撑项目</w:t>
      </w:r>
    </w:p>
    <w:p w14:paraId="3F89E03A">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（一）贵州特色药食同源植物茶菌发酵适配性筛选及功能活性初步研究</w:t>
      </w:r>
    </w:p>
    <w:p w14:paraId="5613D59F">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（二）苗药黑骨藤基于NLRP3炎症小体调控急性痛风性关节炎的机制研究</w:t>
      </w:r>
    </w:p>
    <w:p w14:paraId="3563F938">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（三）民族药艾纳香碳点的微波法制备及其抗菌抗炎凝胶剂的研究</w:t>
      </w:r>
    </w:p>
    <w:p w14:paraId="1536BA9F">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（四）基于通用影像设备的常用传统中药材三维数字化建模与教学资源库建设研究</w:t>
      </w:r>
    </w:p>
    <w:p w14:paraId="7238888F">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（五）基于国产人工智能大模型本地部署技术的面向民族地区高校典型场景信息助理原型研发</w:t>
      </w:r>
    </w:p>
    <w:p w14:paraId="24AABA94">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（六）儿童床旁DR固定防辐射辅助装置研发</w:t>
      </w:r>
    </w:p>
    <w:p w14:paraId="3AA67775">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（七）面向校园规划展示与数字资产建设的无人机航测三维建模技术研究与成果应用</w:t>
      </w:r>
    </w:p>
    <w:p w14:paraId="7C11C663">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（八）面向民族地区高校科研工作量管理的规则版本化核算方法研究与轻量化原型系统研发</w:t>
      </w:r>
    </w:p>
    <w:p w14:paraId="2B890D27">
      <w:pPr>
        <w:pStyle w:val="13"/>
        <w:spacing w:after="0" w:line="56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三、科研人才支持项目</w:t>
      </w:r>
    </w:p>
    <w:p w14:paraId="2D4D497D">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（一）基于氧化应激—炎症反应轴探讨刺梨多糖对DSS诱导小鼠溃疡性结肠炎的保护作用及机制研究</w:t>
      </w:r>
    </w:p>
    <w:p w14:paraId="4DE42964">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（二）基于肠道菌群—炎症微环境轴探讨刺梨多糖对AOM/DSS诱导炎症相关结直肠癌的干预作用及机制初探</w:t>
      </w:r>
    </w:p>
    <w:p w14:paraId="6E92AF58">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（三）刺梨汁绿色合成透明质酸包覆的硒纳米颗粒（HA-SeNPs）对镉诱导生殖毒性的机制研究</w:t>
      </w:r>
    </w:p>
    <w:p w14:paraId="05A1E7C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（四）抗菌肽调控巨噬细胞极化促皮肤创面修复的机制研究</w:t>
      </w:r>
    </w:p>
    <w:p w14:paraId="38C3C9C7">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（五）黔产药用植物提取物活性研究</w:t>
      </w:r>
    </w:p>
    <w:p w14:paraId="0782DC0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（六）黔南地区儿童食物不耐受与ADHD共病的流行病学特征及危险因素分析</w:t>
      </w:r>
    </w:p>
    <w:p w14:paraId="4799C084">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（七）黔南儿童和青少年脊柱侧弯的流行特征和影响因素分析</w:t>
      </w:r>
    </w:p>
    <w:p w14:paraId="67B89931">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（八）神经发育障碍儿童的营养干预和微生物群疗法</w:t>
      </w:r>
    </w:p>
    <w:p w14:paraId="22267344">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（九）未成年受害群体心理干预及司法心理援助的实操路径研究</w:t>
      </w:r>
    </w:p>
    <w:p w14:paraId="49AEF4AE">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（十）具身认知视域下民族医药非遗体验式学习对医学生职业认同的唤醒机制与实践路径研究——以黔南医专为例</w:t>
      </w:r>
    </w:p>
    <w:p w14:paraId="4D27F03A">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（十一）民族地区医高专院校思政课传统文化融入的逻辑理路与课堂实践进路研究</w:t>
      </w:r>
    </w:p>
    <w:p w14:paraId="0CE012C5">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（十二）AI赋能民族地区思政课一体化的教师协同培养机制研究</w:t>
      </w:r>
    </w:p>
    <w:p w14:paraId="53CCDD46">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（十三）生成式人工智能对高职医学生网络思想政治教育的影响及对策研究</w:t>
      </w:r>
    </w:p>
    <w:p w14:paraId="1651776A">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（十四）产教融合背景下黔南刺梨药食同源价值挖掘与产品研发小试平台建设</w:t>
      </w:r>
    </w:p>
    <w:p w14:paraId="09A97EAA">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（十五）黔南州少数民族地区高职学生肺结核防治知信行现状与优化路径</w:t>
      </w:r>
    </w:p>
    <w:p w14:paraId="0D32284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（十六）贵州特有鼠尾草属植物资源调查研究</w:t>
      </w:r>
    </w:p>
    <w:p w14:paraId="7C967313">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（十七）长期照护师职业背景下高职高专老年护理专业学生能力培养研究</w:t>
      </w:r>
    </w:p>
    <w:p w14:paraId="3847BCE9">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（十八）基于“双师型”教师实体运营养老机构的护理人才培养模式创新研究</w:t>
      </w:r>
    </w:p>
    <w:p w14:paraId="4E517A2B">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（十九）黔南地区老年社区护理服务现状与对策研究</w:t>
      </w:r>
    </w:p>
    <w:p w14:paraId="6333DAC2">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（二十）高职护生安宁疗养、生命意义与死亡态度与就业研究</w:t>
      </w:r>
    </w:p>
    <w:p w14:paraId="64F5EBCA">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（二十一）基于实训基地场景的智慧养老专业学生岗位素养培育研究</w:t>
      </w:r>
    </w:p>
    <w:p w14:paraId="1A5113E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（二十二）黔南民族地区高职毕业生慢就业成因及对策分析</w:t>
      </w:r>
    </w:p>
    <w:p w14:paraId="39271FF6">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（二十三）黔南地区少数民族高职高专职业认同与职业规划影响因素及相关性研究</w:t>
      </w:r>
    </w:p>
    <w:p w14:paraId="56F18B70">
      <w:pPr>
        <w:pStyle w:val="13"/>
        <w:spacing w:after="0" w:line="560" w:lineRule="exact"/>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四、大学生科技创新项目</w:t>
      </w:r>
    </w:p>
    <w:p w14:paraId="3CB3182F">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（一）基于健康素养视角的高校学生非处方药使用行为、风险认知及药学服务需求研究</w:t>
      </w:r>
    </w:p>
    <w:p w14:paraId="26B496C5">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（二）大学生结直肠癌早筛认知、风险感知及健康教育干预效果研究</w:t>
      </w:r>
    </w:p>
    <w:p w14:paraId="67C15E74">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（三）基于健康信念模型的大学生结直肠癌早筛认知、风险感知、筛查意愿及科普干预效果研究</w:t>
      </w:r>
    </w:p>
    <w:p w14:paraId="7E2C5EB7">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（四）天然药物多糖对炎症诱导肠上皮屏障损伤的保护作用及紧密连接蛋白调控机制研究</w:t>
      </w:r>
    </w:p>
    <w:p w14:paraId="4F1C2012">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（五）黔南夏秋茶来源EGCG对炎症诱导肠上皮屏障损伤的保护作用及机制研究</w:t>
      </w:r>
    </w:p>
    <w:p w14:paraId="629A273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（六）香樟树叶水提物抗红色毛癣菌活性研究</w:t>
      </w:r>
    </w:p>
    <w:p w14:paraId="6E87E48E">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（七）刺梨原汁对香烟烟雾诱导小鼠急性肺损伤的保护作用研究</w:t>
      </w:r>
    </w:p>
    <w:p w14:paraId="3EF13D1F">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（八）苗药花蝴蝶回调PAX5表达抑制CIA鼠组织纤维增生的免疫组化研究</w:t>
      </w:r>
    </w:p>
    <w:p w14:paraId="611213B8">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（九）大学生中医体质类型分布及其与睡眠质量、情绪状态和生活方式的关联研究</w:t>
      </w:r>
    </w:p>
    <w:p w14:paraId="3BE486DE">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（十）区域基层卫生服务能力提升背景下医学高职院校人才培养供需适配性及优化路径研究 </w:t>
      </w:r>
    </w:p>
    <w:p w14:paraId="3312A1A0">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（十一）中医药传承创新背景下中药学专业学生文化认同、专业认同与中药服务胜任力提升路径研究</w:t>
      </w:r>
    </w:p>
    <w:p w14:paraId="77A6D0CC">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（十二）基于案例化健康教育的药物不良反应科普干预对大学生安全用药素养的影响研究</w:t>
      </w:r>
    </w:p>
    <w:p w14:paraId="206891B1">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（十三）基于网络药理学与分子对接的经典方剂干预相关疾病潜在作用机制研究</w:t>
      </w:r>
    </w:p>
    <w:p w14:paraId="0F2BA2FB">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（十四）云链苗方·智护“颈”康——基于多元数据融合的苗医理疗智能预警与监测系统</w:t>
      </w:r>
    </w:p>
    <w:p w14:paraId="02B2BDE4">
      <w:pPr>
        <w:pStyle w:val="13"/>
        <w:spacing w:after="0" w:line="560" w:lineRule="exact"/>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（十五）“膜”力净检——羧甲基化多孔网状膜脱色技术在食品微生物快检中的创新应用</w:t>
      </w:r>
    </w:p>
    <w:p w14:paraId="1960A43A">
      <w:pPr>
        <w:pStyle w:val="2"/>
        <w:spacing w:after="0"/>
        <w:ind w:left="0" w:leftChars="0" w:firstLine="0" w:firstLineChars="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五、其他</w:t>
      </w:r>
    </w:p>
    <w:p w14:paraId="2D5BE37B">
      <w:pPr>
        <w:pStyle w:val="13"/>
        <w:spacing w:after="0"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支持围绕健康养老与智慧康养、儿童青少年健康促进、人工智能赋能医学教育与健康服务、智慧医疗、医疗器械研发、公共卫生与健康管理、医学职业教育改革、中医药文化传承创新、基层卫生健康服务、科技成果转化与产学研协同创新等领域开展科技创新、技术研发及成果转化应用，推动教育教学改革、社会服务能力提升和学校高质量发展。</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1060001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16"/>
    <w:rsid w:val="00082CB0"/>
    <w:rsid w:val="000F0642"/>
    <w:rsid w:val="001464DC"/>
    <w:rsid w:val="0020312D"/>
    <w:rsid w:val="002D265D"/>
    <w:rsid w:val="004077E2"/>
    <w:rsid w:val="004417A4"/>
    <w:rsid w:val="004D7797"/>
    <w:rsid w:val="00581153"/>
    <w:rsid w:val="00622CBA"/>
    <w:rsid w:val="006854E8"/>
    <w:rsid w:val="00854E8C"/>
    <w:rsid w:val="008D032C"/>
    <w:rsid w:val="00A03816"/>
    <w:rsid w:val="00A55F60"/>
    <w:rsid w:val="00AE448C"/>
    <w:rsid w:val="00B46512"/>
    <w:rsid w:val="00CB084D"/>
    <w:rsid w:val="00F57568"/>
    <w:rsid w:val="00F60F16"/>
    <w:rsid w:val="01F970C5"/>
    <w:rsid w:val="046713ED"/>
    <w:rsid w:val="46693A8A"/>
    <w:rsid w:val="5AFF7AF2"/>
    <w:rsid w:val="5B346E73"/>
    <w:rsid w:val="7C9B1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Calibri" w:hAnsi="Calibri" w:eastAsia="宋体" w:cs="Times New Roman"/>
      <w:kern w:val="2"/>
      <w:sz w:val="21"/>
      <w:szCs w:val="24"/>
      <w:lang w:val="en-US" w:eastAsia="zh-CN" w:bidi="ar-SA"/>
      <w14:ligatures w14:val="none"/>
    </w:rPr>
  </w:style>
  <w:style w:type="paragraph" w:styleId="4">
    <w:name w:val="heading 1"/>
    <w:basedOn w:val="1"/>
    <w:next w:val="1"/>
    <w:link w:val="20"/>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5">
    <w:name w:val="heading 2"/>
    <w:basedOn w:val="1"/>
    <w:next w:val="1"/>
    <w:link w:val="21"/>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6">
    <w:name w:val="heading 3"/>
    <w:basedOn w:val="1"/>
    <w:next w:val="1"/>
    <w:link w:val="22"/>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7">
    <w:name w:val="heading 4"/>
    <w:basedOn w:val="1"/>
    <w:next w:val="1"/>
    <w:link w:val="23"/>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8">
    <w:name w:val="heading 5"/>
    <w:basedOn w:val="1"/>
    <w:next w:val="1"/>
    <w:link w:val="24"/>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104862" w:themeColor="accent1" w:themeShade="BF"/>
      <w:sz w:val="24"/>
      <w14:ligatures w14:val="standardContextual"/>
    </w:rPr>
  </w:style>
  <w:style w:type="paragraph" w:styleId="9">
    <w:name w:val="heading 6"/>
    <w:basedOn w:val="1"/>
    <w:next w:val="1"/>
    <w:link w:val="25"/>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104862" w:themeColor="accent1" w:themeShade="BF"/>
      <w:sz w:val="22"/>
      <w14:ligatures w14:val="standardContextual"/>
    </w:rPr>
  </w:style>
  <w:style w:type="paragraph" w:styleId="10">
    <w:name w:val="heading 7"/>
    <w:basedOn w:val="1"/>
    <w:next w:val="1"/>
    <w:link w:val="26"/>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11">
    <w:name w:val="heading 8"/>
    <w:basedOn w:val="1"/>
    <w:next w:val="1"/>
    <w:link w:val="27"/>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2">
    <w:name w:val="heading 9"/>
    <w:basedOn w:val="1"/>
    <w:next w:val="1"/>
    <w:link w:val="28"/>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41"/>
    <w:qFormat/>
    <w:uiPriority w:val="0"/>
    <w:pPr>
      <w:ind w:firstLine="420" w:firstLineChars="200"/>
    </w:pPr>
  </w:style>
  <w:style w:type="paragraph" w:styleId="3">
    <w:name w:val="Body Text Indent"/>
    <w:basedOn w:val="1"/>
    <w:link w:val="40"/>
    <w:semiHidden/>
    <w:unhideWhenUsed/>
    <w:qFormat/>
    <w:uiPriority w:val="99"/>
    <w:pPr>
      <w:spacing w:after="120"/>
      <w:ind w:left="420" w:leftChars="200"/>
    </w:pPr>
  </w:style>
  <w:style w:type="paragraph" w:styleId="13">
    <w:name w:val="Body Text"/>
    <w:basedOn w:val="1"/>
    <w:link w:val="42"/>
    <w:qFormat/>
    <w:uiPriority w:val="0"/>
    <w:pPr>
      <w:spacing w:after="140" w:line="276" w:lineRule="auto"/>
    </w:pPr>
  </w:style>
  <w:style w:type="paragraph" w:styleId="14">
    <w:name w:val="footer"/>
    <w:basedOn w:val="1"/>
    <w:link w:val="39"/>
    <w:unhideWhenUsed/>
    <w:qFormat/>
    <w:uiPriority w:val="99"/>
    <w:pPr>
      <w:tabs>
        <w:tab w:val="center" w:pos="4153"/>
        <w:tab w:val="right" w:pos="8306"/>
      </w:tabs>
      <w:snapToGrid w:val="0"/>
      <w:spacing w:after="160"/>
      <w:jc w:val="left"/>
    </w:pPr>
    <w:rPr>
      <w:rFonts w:asciiTheme="minorHAnsi" w:hAnsiTheme="minorHAnsi" w:eastAsiaTheme="minorEastAsia" w:cstheme="minorBidi"/>
      <w:sz w:val="18"/>
      <w:szCs w:val="18"/>
      <w14:ligatures w14:val="standardContextual"/>
    </w:rPr>
  </w:style>
  <w:style w:type="paragraph" w:styleId="15">
    <w:name w:val="header"/>
    <w:basedOn w:val="1"/>
    <w:link w:val="38"/>
    <w:unhideWhenUsed/>
    <w:uiPriority w:val="99"/>
    <w:pPr>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6">
    <w:name w:val="Subtitle"/>
    <w:basedOn w:val="1"/>
    <w:next w:val="1"/>
    <w:link w:val="30"/>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20">
    <w:name w:val="标题 1 字符"/>
    <w:basedOn w:val="19"/>
    <w:link w:val="4"/>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5"/>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6"/>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7"/>
    <w:semiHidden/>
    <w:qFormat/>
    <w:uiPriority w:val="9"/>
    <w:rPr>
      <w:rFonts w:cstheme="majorBidi"/>
      <w:color w:val="104862" w:themeColor="accent1" w:themeShade="BF"/>
      <w:sz w:val="28"/>
      <w:szCs w:val="28"/>
    </w:rPr>
  </w:style>
  <w:style w:type="character" w:customStyle="1" w:styleId="24">
    <w:name w:val="标题 5 字符"/>
    <w:basedOn w:val="19"/>
    <w:link w:val="8"/>
    <w:semiHidden/>
    <w:qFormat/>
    <w:uiPriority w:val="9"/>
    <w:rPr>
      <w:rFonts w:cstheme="majorBidi"/>
      <w:color w:val="104862" w:themeColor="accent1" w:themeShade="BF"/>
      <w:sz w:val="24"/>
    </w:rPr>
  </w:style>
  <w:style w:type="character" w:customStyle="1" w:styleId="25">
    <w:name w:val="标题 6 字符"/>
    <w:basedOn w:val="19"/>
    <w:link w:val="9"/>
    <w:semiHidden/>
    <w:uiPriority w:val="9"/>
    <w:rPr>
      <w:rFonts w:cstheme="majorBidi"/>
      <w:b/>
      <w:bCs/>
      <w:color w:val="104862" w:themeColor="accent1" w:themeShade="BF"/>
    </w:rPr>
  </w:style>
  <w:style w:type="character" w:customStyle="1" w:styleId="26">
    <w:name w:val="标题 7 字符"/>
    <w:basedOn w:val="19"/>
    <w:link w:val="10"/>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11"/>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2"/>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2">
    <w:name w:val="引用 字符"/>
    <w:basedOn w:val="19"/>
    <w:link w:val="31"/>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EastAsia" w:cstheme="minorBidi"/>
      <w:i/>
      <w:iCs/>
      <w:color w:val="104862" w:themeColor="accent1" w:themeShade="BF"/>
      <w:sz w:val="22"/>
      <w14:ligatures w14:val="standardContextual"/>
    </w:rPr>
  </w:style>
  <w:style w:type="character" w:customStyle="1" w:styleId="36">
    <w:name w:val="明显引用 字符"/>
    <w:basedOn w:val="19"/>
    <w:link w:val="35"/>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5"/>
    <w:qFormat/>
    <w:uiPriority w:val="99"/>
    <w:rPr>
      <w:sz w:val="18"/>
      <w:szCs w:val="18"/>
    </w:rPr>
  </w:style>
  <w:style w:type="character" w:customStyle="1" w:styleId="39">
    <w:name w:val="页脚 字符"/>
    <w:basedOn w:val="19"/>
    <w:link w:val="14"/>
    <w:qFormat/>
    <w:uiPriority w:val="99"/>
    <w:rPr>
      <w:sz w:val="18"/>
      <w:szCs w:val="18"/>
    </w:rPr>
  </w:style>
  <w:style w:type="character" w:customStyle="1" w:styleId="40">
    <w:name w:val="正文文本缩进 字符"/>
    <w:basedOn w:val="19"/>
    <w:link w:val="3"/>
    <w:semiHidden/>
    <w:qFormat/>
    <w:uiPriority w:val="99"/>
    <w:rPr>
      <w:rFonts w:ascii="Calibri" w:hAnsi="Calibri" w:eastAsia="宋体" w:cs="Times New Roman"/>
      <w:sz w:val="21"/>
      <w14:ligatures w14:val="none"/>
    </w:rPr>
  </w:style>
  <w:style w:type="character" w:customStyle="1" w:styleId="41">
    <w:name w:val="正文文本首行缩进 2 字符"/>
    <w:basedOn w:val="40"/>
    <w:link w:val="2"/>
    <w:qFormat/>
    <w:uiPriority w:val="0"/>
    <w:rPr>
      <w:rFonts w:ascii="Calibri" w:hAnsi="Calibri" w:eastAsia="宋体" w:cs="Times New Roman"/>
      <w:sz w:val="21"/>
      <w14:ligatures w14:val="none"/>
    </w:rPr>
  </w:style>
  <w:style w:type="character" w:customStyle="1" w:styleId="42">
    <w:name w:val="正文文本 字符"/>
    <w:basedOn w:val="19"/>
    <w:link w:val="13"/>
    <w:qFormat/>
    <w:uiPriority w:val="0"/>
    <w:rPr>
      <w:rFonts w:ascii="Calibri" w:hAnsi="Calibri" w:eastAsia="宋体" w:cs="Times New Roman"/>
      <w:sz w:val="21"/>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1926</Words>
  <Characters>1966</Characters>
  <Lines>14</Lines>
  <Paragraphs>4</Paragraphs>
  <TotalTime>10</TotalTime>
  <ScaleCrop>false</ScaleCrop>
  <LinksUpToDate>false</LinksUpToDate>
  <CharactersWithSpaces>1967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2026-06-05T02:51:00Z</dcterms:created>
  <dc:creator>rongrong pan</dc:creator>
  <cp:lastModifiedBy>SEP精霊</cp:lastModifiedBy>
  <dcterms:modified xsi:type="dcterms:W3CDTF">2026-06-25T08:13:29Z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eyJoZGlkIjoiNjA5N2I5ZmY3MzUwZTUxZGQ3OTkyY2U1ZmQxYzcwOTEiLCJ1c2VySWQiOiIyNjYwNDA2MTcifQ==</vt:lpwstr>
  </property>
  <property fmtid="{D5CDD505-2E9C-101B-9397-08002B2CF9AE}" pid="3" name="KSOProductBuildVer">
    <vt:lpwstr>2052-12.1.0.23542</vt:lpwstr>
  </property>
  <property fmtid="{D5CDD505-2E9C-101B-9397-08002B2CF9AE}" pid="4" name="ICV">
    <vt:lpwstr>58CCB0756292457C9188E5EA3CDB0027_12</vt:lpwstr>
  </property>
</Properties>
</file>